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孝感市中级人民法院</w:t>
      </w:r>
    </w:p>
    <w:p>
      <w:pPr>
        <w:jc w:val="cente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关于印发《关于进一步加强市场主体司法保护和服务工作力度的实施方案》的通知</w:t>
      </w:r>
    </w:p>
    <w:p>
      <w:pPr>
        <w:jc w:val="center"/>
        <w:rPr>
          <w:rFonts w:hint="eastAsia" w:ascii="黑体" w:hAnsi="黑体" w:eastAsia="黑体" w:cs="黑体"/>
          <w:sz w:val="36"/>
          <w:szCs w:val="36"/>
          <w:lang w:val="en-US" w:eastAsia="zh-CN"/>
        </w:rPr>
      </w:pPr>
    </w:p>
    <w:p>
      <w:pPr>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各县市区人民法院、本院各部门：</w:t>
      </w:r>
    </w:p>
    <w:p>
      <w:pPr>
        <w:ind w:firstLine="6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为认真贯彻落实省高院《关于进一步加强市场主体司法保护和服务工作力度的整改提升方案》，市中院制定出台了《关于进一步加强市场主体司法保护和服务工作力度的实施方案》。现将方案印发给你们，请结合工作实际认真抓好落实。    </w:t>
      </w:r>
    </w:p>
    <w:p>
      <w:pPr>
        <w:ind w:firstLine="6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p>
    <w:p>
      <w:pPr>
        <w:ind w:firstLine="5052" w:firstLineChars="1684"/>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孝感市中级人民法院</w:t>
      </w:r>
    </w:p>
    <w:p>
      <w:pPr>
        <w:ind w:firstLine="6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2022年3月28日</w:t>
      </w:r>
    </w:p>
    <w:p>
      <w:pPr>
        <w:jc w:val="center"/>
        <w:rPr>
          <w:rFonts w:hint="eastAsia" w:ascii="黑体" w:hAnsi="黑体" w:eastAsia="黑体" w:cs="黑体"/>
          <w:sz w:val="30"/>
          <w:szCs w:val="30"/>
          <w:lang w:val="en-US" w:eastAsia="zh-CN"/>
        </w:rPr>
      </w:pPr>
    </w:p>
    <w:p>
      <w:pPr>
        <w:jc w:val="center"/>
        <w:rPr>
          <w:rFonts w:hint="eastAsia" w:ascii="黑体" w:hAnsi="黑体" w:eastAsia="黑体" w:cs="黑体"/>
          <w:sz w:val="30"/>
          <w:szCs w:val="30"/>
          <w:lang w:val="en-US" w:eastAsia="zh-CN"/>
        </w:rPr>
      </w:pPr>
    </w:p>
    <w:p>
      <w:pPr>
        <w:jc w:val="both"/>
        <w:rPr>
          <w:rFonts w:hint="eastAsia" w:ascii="黑体" w:hAnsi="黑体" w:eastAsia="黑体" w:cs="黑体"/>
          <w:sz w:val="30"/>
          <w:szCs w:val="30"/>
          <w:lang w:val="en-US" w:eastAsia="zh-CN"/>
        </w:rPr>
      </w:pPr>
    </w:p>
    <w:p>
      <w:pPr>
        <w:jc w:val="both"/>
        <w:rPr>
          <w:rFonts w:hint="eastAsia" w:ascii="黑体" w:hAnsi="黑体" w:eastAsia="黑体" w:cs="黑体"/>
          <w:sz w:val="30"/>
          <w:szCs w:val="30"/>
          <w:lang w:val="en-US" w:eastAsia="zh-CN"/>
        </w:rPr>
      </w:pPr>
    </w:p>
    <w:p>
      <w:pPr>
        <w:jc w:val="both"/>
        <w:rPr>
          <w:rFonts w:hint="eastAsia" w:ascii="黑体" w:hAnsi="黑体" w:eastAsia="黑体" w:cs="黑体"/>
          <w:sz w:val="30"/>
          <w:szCs w:val="30"/>
          <w:lang w:val="en-US" w:eastAsia="zh-CN"/>
        </w:rPr>
      </w:pPr>
    </w:p>
    <w:p>
      <w:pPr>
        <w:jc w:val="both"/>
        <w:rPr>
          <w:rFonts w:hint="eastAsia" w:ascii="黑体" w:hAnsi="黑体" w:eastAsia="黑体" w:cs="黑体"/>
          <w:sz w:val="30"/>
          <w:szCs w:val="30"/>
          <w:lang w:val="en-US" w:eastAsia="zh-CN"/>
        </w:rPr>
      </w:pPr>
    </w:p>
    <w:p>
      <w:pPr>
        <w:jc w:val="both"/>
        <w:rPr>
          <w:rFonts w:hint="eastAsia" w:ascii="黑体" w:hAnsi="黑体" w:eastAsia="黑体" w:cs="黑体"/>
          <w:sz w:val="30"/>
          <w:szCs w:val="30"/>
          <w:lang w:val="en-US" w:eastAsia="zh-CN"/>
        </w:rPr>
      </w:pPr>
    </w:p>
    <w:p>
      <w:pPr>
        <w:jc w:val="both"/>
        <w:rPr>
          <w:rFonts w:hint="eastAsia" w:ascii="黑体" w:hAnsi="黑体" w:eastAsia="黑体" w:cs="黑体"/>
          <w:sz w:val="30"/>
          <w:szCs w:val="30"/>
          <w:lang w:val="en-US" w:eastAsia="zh-CN"/>
        </w:rPr>
      </w:pPr>
    </w:p>
    <w:p>
      <w:pPr>
        <w:jc w:val="both"/>
        <w:rPr>
          <w:rFonts w:hint="eastAsia" w:ascii="黑体" w:hAnsi="黑体" w:eastAsia="黑体" w:cs="黑体"/>
          <w:sz w:val="30"/>
          <w:szCs w:val="30"/>
          <w:lang w:val="en-US" w:eastAsia="zh-CN"/>
        </w:rPr>
      </w:pPr>
    </w:p>
    <w:p>
      <w:pPr>
        <w:jc w:val="both"/>
        <w:rPr>
          <w:rFonts w:hint="eastAsia" w:ascii="黑体" w:hAnsi="黑体" w:eastAsia="黑体" w:cs="黑体"/>
          <w:sz w:val="30"/>
          <w:szCs w:val="30"/>
          <w:lang w:val="en-US" w:eastAsia="zh-CN"/>
        </w:rPr>
      </w:pPr>
    </w:p>
    <w:p>
      <w:pPr>
        <w:jc w:val="cente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关于进一步加强市场主体司法保护和服务工作力度的实施方案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为认真贯彻落实省高院《关于进一步加强市场主体司法保护和服务工作力度的整改提升方案》，进一步加强市场主体司法保护和服务工作力度，为孝感经济社会高质量发展提供良好法治环境，现结合本院工作实际，制定本实施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一、总体要求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val="en-US" w:eastAsia="zh-CN"/>
        </w:rPr>
        <w:t>坚持以习近平新时代中国特色社会主义思想为指导，深入贯彻习近平法治思想，贯彻习近平总书记关于“保市场主体就是保社会生产力”等有关重要指示精神，</w:t>
      </w:r>
      <w:r>
        <w:rPr>
          <w:rFonts w:hint="eastAsia" w:ascii="仿宋" w:hAnsi="仿宋" w:eastAsia="仿宋" w:cs="仿宋"/>
          <w:sz w:val="30"/>
          <w:szCs w:val="30"/>
        </w:rPr>
        <w:t>进一步增强法院队伍优化法治化营商环境的</w:t>
      </w:r>
      <w:r>
        <w:rPr>
          <w:rFonts w:hint="eastAsia" w:ascii="仿宋" w:hAnsi="仿宋" w:eastAsia="仿宋" w:cs="仿宋"/>
          <w:sz w:val="30"/>
          <w:szCs w:val="30"/>
          <w:lang w:eastAsia="zh-CN"/>
        </w:rPr>
        <w:t>强烈意识和</w:t>
      </w:r>
      <w:r>
        <w:rPr>
          <w:rFonts w:hint="eastAsia" w:ascii="仿宋" w:hAnsi="仿宋" w:eastAsia="仿宋" w:cs="仿宋"/>
          <w:sz w:val="30"/>
          <w:szCs w:val="30"/>
        </w:rPr>
        <w:t>责任担当，完善市场主体司法保护工作机制，</w:t>
      </w:r>
      <w:r>
        <w:rPr>
          <w:rFonts w:hint="eastAsia" w:ascii="仿宋" w:hAnsi="仿宋" w:eastAsia="仿宋" w:cs="仿宋"/>
          <w:sz w:val="30"/>
          <w:szCs w:val="30"/>
          <w:lang w:eastAsia="zh-CN"/>
        </w:rPr>
        <w:t>充分发挥刑事、民商事、行政审判和执行职能作用，保障各类市场主体依法平等使用生产要素，公开公平公正参与市场竞争，同等受到法律保护，激发和保护市场主体活力，提升服务市场主体发展的效能，加强法官办理涉市场主体案件的能力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黑体" w:hAnsi="黑体" w:eastAsia="黑体" w:cs="黑体"/>
          <w:sz w:val="30"/>
          <w:szCs w:val="30"/>
          <w:lang w:val="en-US" w:eastAsia="zh-CN"/>
        </w:rPr>
        <w:t xml:space="preserve">二、主要任务 </w:t>
      </w:r>
      <w:r>
        <w:rPr>
          <w:rFonts w:hint="eastAsia" w:ascii="仿宋" w:hAnsi="仿宋" w:eastAsia="仿宋" w:cs="仿宋"/>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b/>
          <w:bCs/>
          <w:sz w:val="30"/>
          <w:szCs w:val="30"/>
          <w:lang w:eastAsia="zh-CN"/>
        </w:rPr>
      </w:pPr>
      <w:r>
        <w:rPr>
          <w:rFonts w:hint="eastAsia" w:ascii="华文楷体" w:hAnsi="华文楷体" w:eastAsia="华文楷体" w:cs="华文楷体"/>
          <w:sz w:val="30"/>
          <w:szCs w:val="30"/>
          <w:lang w:val="en-US" w:eastAsia="zh-CN"/>
        </w:rPr>
        <w:t>(一)加强行政审判，推进依法行政，促进政府及其职能部门进一步规范执法流程。</w:t>
      </w:r>
      <w:r>
        <w:rPr>
          <w:rFonts w:hint="eastAsia" w:ascii="仿宋" w:hAnsi="仿宋" w:eastAsia="仿宋" w:cs="仿宋"/>
          <w:sz w:val="30"/>
          <w:szCs w:val="30"/>
        </w:rPr>
        <w:t>一是加强行政审判，围绕行政机关执法不严</w:t>
      </w:r>
      <w:r>
        <w:rPr>
          <w:rFonts w:hint="eastAsia" w:ascii="仿宋" w:hAnsi="仿宋" w:eastAsia="仿宋" w:cs="仿宋"/>
          <w:sz w:val="30"/>
          <w:szCs w:val="30"/>
          <w:lang w:eastAsia="zh-CN"/>
        </w:rPr>
        <w:t>、</w:t>
      </w:r>
      <w:r>
        <w:rPr>
          <w:rFonts w:hint="eastAsia" w:ascii="仿宋" w:hAnsi="仿宋" w:eastAsia="仿宋" w:cs="仿宋"/>
          <w:sz w:val="30"/>
          <w:szCs w:val="30"/>
        </w:rPr>
        <w:t>选择性执法、“重实体、轻程序”等不规范问题，强化审判权对行政权的制约监督作用;二是加强协同治理，依托“院府联动”、司法建议等形式，推动实质性化解行政争议，减轻市场主体诉累，助力打造法治政府。</w:t>
      </w:r>
      <w:r>
        <w:rPr>
          <w:rFonts w:hint="eastAsia" w:ascii="仿宋" w:hAnsi="仿宋" w:eastAsia="仿宋" w:cs="仿宋"/>
          <w:b/>
          <w:bCs/>
          <w:sz w:val="30"/>
          <w:szCs w:val="30"/>
          <w:lang w:eastAsia="zh-CN"/>
        </w:rPr>
        <w:t>（</w:t>
      </w:r>
      <w:r>
        <w:rPr>
          <w:rFonts w:hint="eastAsia" w:ascii="仿宋" w:hAnsi="仿宋" w:eastAsia="仿宋" w:cs="仿宋"/>
          <w:b/>
          <w:bCs/>
          <w:sz w:val="30"/>
          <w:szCs w:val="30"/>
        </w:rPr>
        <w:t>责任单位:行政庭</w:t>
      </w:r>
      <w:r>
        <w:rPr>
          <w:rFonts w:hint="eastAsia" w:ascii="仿宋" w:hAnsi="仿宋" w:eastAsia="仿宋" w:cs="仿宋"/>
          <w:b/>
          <w:bCs/>
          <w:sz w:val="30"/>
          <w:szCs w:val="30"/>
          <w:lang w:eastAsia="zh-CN"/>
        </w:rPr>
        <w:t>，</w:t>
      </w:r>
      <w:r>
        <w:rPr>
          <w:rFonts w:hint="eastAsia" w:ascii="仿宋" w:hAnsi="仿宋" w:eastAsia="仿宋" w:cs="仿宋"/>
          <w:b/>
          <w:bCs/>
          <w:sz w:val="30"/>
          <w:szCs w:val="30"/>
        </w:rPr>
        <w:t>完成时限:2022年底前</w:t>
      </w:r>
      <w:r>
        <w:rPr>
          <w:rFonts w:hint="eastAsia" w:ascii="仿宋" w:hAnsi="仿宋" w:eastAsia="仿宋" w:cs="仿宋"/>
          <w:b/>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（二）紧盯司法能力不足问题，加大对下级法院指导力度，统一裁判尺度。</w:t>
      </w:r>
      <w:r>
        <w:rPr>
          <w:rFonts w:hint="eastAsia" w:ascii="仿宋" w:hAnsi="仿宋" w:eastAsia="仿宋" w:cs="仿宋"/>
          <w:sz w:val="30"/>
          <w:szCs w:val="30"/>
          <w:lang w:val="en-US" w:eastAsia="zh-CN"/>
        </w:rPr>
        <w:t>一是加大指导力度，编发类案典型案例。二是对发改案件进行讲评。三是组织针对涉疫、涉企案件办理中存在的“贯彻宽严相济刑事政策还不够”、“罪名、量刑等生搬硬套法律条文”等问题进行专项培训。认真开展审执业务和优化营商环境的教育培训考试。</w:t>
      </w:r>
      <w:r>
        <w:rPr>
          <w:rFonts w:hint="eastAsia" w:ascii="仿宋" w:hAnsi="仿宋" w:eastAsia="仿宋" w:cs="仿宋"/>
          <w:b/>
          <w:bCs/>
          <w:sz w:val="30"/>
          <w:szCs w:val="30"/>
          <w:lang w:val="en-US" w:eastAsia="zh-CN"/>
        </w:rPr>
        <w:t>（责任单位：审管办、政治部、各审判执行业务部门，完成时限：2022年底前）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b/>
          <w:bCs/>
          <w:sz w:val="30"/>
          <w:szCs w:val="30"/>
        </w:rPr>
      </w:pPr>
      <w:r>
        <w:rPr>
          <w:rFonts w:hint="eastAsia" w:ascii="华文楷体" w:hAnsi="华文楷体" w:eastAsia="华文楷体" w:cs="华文楷体"/>
          <w:sz w:val="30"/>
          <w:szCs w:val="30"/>
          <w:lang w:val="en-US" w:eastAsia="zh-CN"/>
        </w:rPr>
        <w:t>(三)加强超期未结案件督办整治，严格涉企案件延长审限、审限扣除等审限变更，加大流程信息公开，提升司法公信。</w:t>
      </w:r>
      <w:r>
        <w:rPr>
          <w:rFonts w:hint="eastAsia" w:ascii="仿宋" w:hAnsi="仿宋" w:eastAsia="仿宋" w:cs="仿宋"/>
          <w:sz w:val="30"/>
          <w:szCs w:val="30"/>
        </w:rPr>
        <w:t>一是严格落实《最高人民法院关于严格规范民商事案件延长审限和延期开庭问题的规定》，重点加强对延长审限、扣除审限、中止审理等流程节点的全面管控，对审理期限超过</w:t>
      </w:r>
      <w:r>
        <w:rPr>
          <w:rFonts w:hint="eastAsia" w:ascii="仿宋" w:hAnsi="仿宋" w:eastAsia="仿宋" w:cs="仿宋"/>
          <w:sz w:val="30"/>
          <w:szCs w:val="30"/>
          <w:lang w:val="en-US" w:eastAsia="zh-CN"/>
        </w:rPr>
        <w:t>1</w:t>
      </w:r>
      <w:r>
        <w:rPr>
          <w:rFonts w:hint="eastAsia" w:ascii="仿宋" w:hAnsi="仿宋" w:eastAsia="仿宋" w:cs="仿宋"/>
          <w:sz w:val="30"/>
          <w:szCs w:val="30"/>
        </w:rPr>
        <w:t>年以上涉企案件进行集中清理，限期结案</w:t>
      </w:r>
      <w:r>
        <w:rPr>
          <w:rFonts w:hint="eastAsia" w:ascii="仿宋" w:hAnsi="仿宋" w:eastAsia="仿宋" w:cs="仿宋"/>
          <w:sz w:val="30"/>
          <w:szCs w:val="30"/>
          <w:lang w:eastAsia="zh-CN"/>
        </w:rPr>
        <w:t>，确保涉企案件审理期限超</w:t>
      </w:r>
      <w:r>
        <w:rPr>
          <w:rFonts w:hint="eastAsia" w:ascii="仿宋" w:hAnsi="仿宋" w:eastAsia="仿宋" w:cs="仿宋"/>
          <w:sz w:val="30"/>
          <w:szCs w:val="30"/>
          <w:lang w:val="en-US" w:eastAsia="zh-CN"/>
        </w:rPr>
        <w:t>1年以上的件数为全省法院最少，涉企案件审理天数为全省最少法院之一（前3位），1年以上超审限案件都由院庭长严格监管并报经审委会评查定责</w:t>
      </w:r>
      <w:r>
        <w:rPr>
          <w:rFonts w:hint="eastAsia" w:ascii="仿宋" w:hAnsi="仿宋" w:eastAsia="仿宋" w:cs="仿宋"/>
          <w:sz w:val="30"/>
          <w:szCs w:val="30"/>
        </w:rPr>
        <w:t>。二是进一步推动智慧法院建设，加大流程信息公开力度。</w:t>
      </w:r>
      <w:r>
        <w:rPr>
          <w:rFonts w:hint="eastAsia" w:ascii="仿宋" w:hAnsi="仿宋" w:eastAsia="仿宋" w:cs="仿宋"/>
          <w:b/>
          <w:bCs/>
          <w:sz w:val="30"/>
          <w:szCs w:val="30"/>
          <w:lang w:eastAsia="zh-CN"/>
        </w:rPr>
        <w:t>（</w:t>
      </w:r>
      <w:r>
        <w:rPr>
          <w:rFonts w:hint="eastAsia" w:ascii="仿宋" w:hAnsi="仿宋" w:eastAsia="仿宋" w:cs="仿宋"/>
          <w:b/>
          <w:bCs/>
          <w:sz w:val="30"/>
          <w:szCs w:val="30"/>
        </w:rPr>
        <w:t>责任单位:审管办、各审判执行业务部门、</w:t>
      </w:r>
      <w:r>
        <w:rPr>
          <w:rFonts w:hint="eastAsia" w:ascii="仿宋" w:hAnsi="仿宋" w:eastAsia="仿宋" w:cs="仿宋"/>
          <w:b/>
          <w:bCs/>
          <w:sz w:val="30"/>
          <w:szCs w:val="30"/>
          <w:lang w:eastAsia="zh-CN"/>
        </w:rPr>
        <w:t>司法行政科，</w:t>
      </w:r>
      <w:r>
        <w:rPr>
          <w:rFonts w:hint="eastAsia" w:ascii="仿宋" w:hAnsi="仿宋" w:eastAsia="仿宋" w:cs="仿宋"/>
          <w:b/>
          <w:bCs/>
          <w:sz w:val="30"/>
          <w:szCs w:val="30"/>
        </w:rPr>
        <w:t>完成时限:2022年底前</w:t>
      </w:r>
      <w:r>
        <w:rPr>
          <w:rFonts w:hint="eastAsia" w:ascii="仿宋" w:hAnsi="仿宋" w:eastAsia="仿宋" w:cs="仿宋"/>
          <w:b/>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b/>
          <w:bCs/>
          <w:sz w:val="30"/>
          <w:szCs w:val="30"/>
        </w:rPr>
      </w:pPr>
      <w:r>
        <w:rPr>
          <w:rFonts w:hint="eastAsia" w:ascii="华文楷体" w:hAnsi="华文楷体" w:eastAsia="华文楷体" w:cs="华文楷体"/>
          <w:sz w:val="30"/>
          <w:szCs w:val="30"/>
          <w:lang w:val="en-US" w:eastAsia="zh-CN"/>
        </w:rPr>
        <w:t>(四)继续健全司法保护和服务市场主体机制，当好“店小二”。</w:t>
      </w:r>
      <w:r>
        <w:rPr>
          <w:rFonts w:hint="eastAsia" w:ascii="仿宋" w:hAnsi="仿宋" w:eastAsia="仿宋" w:cs="仿宋"/>
          <w:sz w:val="30"/>
          <w:szCs w:val="30"/>
          <w:lang w:val="en-US" w:eastAsia="zh-CN"/>
        </w:rPr>
        <w:t>一是进一步深化落实涉企案件经济影响评估制度，提高市场主体的获得感。二是完善强化法院联系服务企业（如法官进企业）制度机制。延伸</w:t>
      </w:r>
      <w:r>
        <w:rPr>
          <w:rFonts w:hint="eastAsia" w:ascii="仿宋" w:hAnsi="仿宋" w:eastAsia="仿宋" w:cs="仿宋"/>
          <w:sz w:val="30"/>
          <w:szCs w:val="30"/>
        </w:rPr>
        <w:t>司法服务效能，通过走访、调研等形式，了解市场主体反映的最突出、最普遍的问题，针对性提出法律风险防范建议。三是继续加大宣传力度，针对极少数干警仍存在的“重办案、轻服务”“重打击、轻保护”情况，持续加大宣传力度，切实提高市场主体司法保护和服务意识。</w:t>
      </w:r>
      <w:r>
        <w:rPr>
          <w:rFonts w:hint="eastAsia" w:ascii="仿宋" w:hAnsi="仿宋" w:eastAsia="仿宋" w:cs="仿宋"/>
          <w:b/>
          <w:bCs/>
          <w:sz w:val="30"/>
          <w:szCs w:val="30"/>
          <w:lang w:eastAsia="zh-CN"/>
        </w:rPr>
        <w:t>（</w:t>
      </w:r>
      <w:r>
        <w:rPr>
          <w:rFonts w:hint="eastAsia" w:ascii="仿宋" w:hAnsi="仿宋" w:eastAsia="仿宋" w:cs="仿宋"/>
          <w:b/>
          <w:bCs/>
          <w:sz w:val="30"/>
          <w:szCs w:val="30"/>
        </w:rPr>
        <w:t>责任单位:</w:t>
      </w:r>
      <w:r>
        <w:rPr>
          <w:rFonts w:hint="eastAsia" w:ascii="仿宋" w:hAnsi="仿宋" w:eastAsia="仿宋" w:cs="仿宋"/>
          <w:b/>
          <w:bCs/>
          <w:sz w:val="30"/>
          <w:szCs w:val="30"/>
          <w:lang w:eastAsia="zh-CN"/>
        </w:rPr>
        <w:t>营商办、</w:t>
      </w:r>
      <w:r>
        <w:rPr>
          <w:rFonts w:hint="eastAsia" w:ascii="仿宋" w:hAnsi="仿宋" w:eastAsia="仿宋" w:cs="仿宋"/>
          <w:b/>
          <w:bCs/>
          <w:sz w:val="30"/>
          <w:szCs w:val="30"/>
        </w:rPr>
        <w:t>各审判执行业务部门、</w:t>
      </w:r>
      <w:r>
        <w:rPr>
          <w:rFonts w:hint="eastAsia" w:ascii="仿宋" w:hAnsi="仿宋" w:eastAsia="仿宋" w:cs="仿宋"/>
          <w:b/>
          <w:bCs/>
          <w:sz w:val="30"/>
          <w:szCs w:val="30"/>
          <w:lang w:eastAsia="zh-CN"/>
        </w:rPr>
        <w:t>办公室，</w:t>
      </w:r>
      <w:r>
        <w:rPr>
          <w:rFonts w:hint="eastAsia" w:ascii="仿宋" w:hAnsi="仿宋" w:eastAsia="仿宋" w:cs="仿宋"/>
          <w:b/>
          <w:bCs/>
          <w:sz w:val="30"/>
          <w:szCs w:val="30"/>
        </w:rPr>
        <w:t>完成时限:2022年底前</w:t>
      </w:r>
      <w:r>
        <w:rPr>
          <w:rFonts w:hint="eastAsia" w:ascii="仿宋" w:hAnsi="仿宋" w:eastAsia="仿宋" w:cs="仿宋"/>
          <w:b/>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b/>
          <w:bCs/>
          <w:sz w:val="30"/>
          <w:szCs w:val="30"/>
          <w:lang w:eastAsia="zh-CN"/>
        </w:rPr>
      </w:pPr>
      <w:r>
        <w:rPr>
          <w:rFonts w:hint="eastAsia" w:ascii="华文楷体" w:hAnsi="华文楷体" w:eastAsia="华文楷体" w:cs="华文楷体"/>
          <w:sz w:val="30"/>
          <w:szCs w:val="30"/>
          <w:lang w:val="en-US" w:eastAsia="zh-CN"/>
        </w:rPr>
        <w:t>(五)进一步提升审判质效，深化“分调裁审”改革，高效处理各类商事纠纷，降低企业诉讼成本、时间成本。</w:t>
      </w:r>
      <w:r>
        <w:rPr>
          <w:rFonts w:hint="eastAsia" w:ascii="仿宋" w:hAnsi="仿宋" w:eastAsia="仿宋" w:cs="仿宋"/>
          <w:sz w:val="30"/>
          <w:szCs w:val="30"/>
        </w:rPr>
        <w:t>一是推进案件繁简分流，充分发挥简易程序和小额诉讼程序等制度功能，进一步提高简易程序和小额诉讼程序适用率，从简从快审理简单案件</w:t>
      </w:r>
      <w:r>
        <w:rPr>
          <w:rFonts w:hint="eastAsia" w:ascii="仿宋" w:hAnsi="仿宋" w:eastAsia="仿宋" w:cs="仿宋"/>
          <w:sz w:val="30"/>
          <w:szCs w:val="30"/>
          <w:lang w:eastAsia="zh-CN"/>
        </w:rPr>
        <w:t>，</w:t>
      </w:r>
      <w:r>
        <w:rPr>
          <w:rFonts w:hint="eastAsia" w:ascii="仿宋" w:hAnsi="仿宋" w:eastAsia="仿宋" w:cs="仿宋"/>
          <w:color w:val="000000" w:themeColor="text1"/>
          <w:sz w:val="30"/>
          <w:szCs w:val="30"/>
          <w:lang w:val="en-US" w:eastAsia="zh-CN"/>
          <w14:textFill>
            <w14:solidFill>
              <w14:schemeClr w14:val="tx1"/>
            </w14:solidFill>
          </w14:textFill>
        </w:rPr>
        <w:t>对依法应该适用简易程序而不适用的，依法依规追究其违法审判责任。</w:t>
      </w:r>
      <w:r>
        <w:rPr>
          <w:rFonts w:hint="eastAsia" w:ascii="仿宋" w:hAnsi="仿宋" w:eastAsia="仿宋" w:cs="仿宋"/>
          <w:sz w:val="30"/>
          <w:szCs w:val="30"/>
          <w:lang w:eastAsia="zh-CN"/>
        </w:rPr>
        <w:t>全市法院</w:t>
      </w:r>
      <w:r>
        <w:rPr>
          <w:rFonts w:hint="eastAsia" w:ascii="仿宋" w:hAnsi="仿宋" w:eastAsia="仿宋" w:cs="仿宋"/>
          <w:color w:val="000000" w:themeColor="text1"/>
          <w:sz w:val="30"/>
          <w:szCs w:val="30"/>
          <w:lang w:eastAsia="zh-CN"/>
          <w14:textFill>
            <w14:solidFill>
              <w14:schemeClr w14:val="tx1"/>
            </w14:solidFill>
          </w14:textFill>
        </w:rPr>
        <w:t>简易程序和小额诉讼程序适用率位居全省前</w:t>
      </w:r>
      <w:r>
        <w:rPr>
          <w:rFonts w:hint="eastAsia" w:ascii="仿宋" w:hAnsi="仿宋" w:eastAsia="仿宋" w:cs="仿宋"/>
          <w:color w:val="000000" w:themeColor="text1"/>
          <w:sz w:val="30"/>
          <w:szCs w:val="30"/>
          <w:lang w:val="en-US" w:eastAsia="zh-CN"/>
          <w14:textFill>
            <w14:solidFill>
              <w14:schemeClr w14:val="tx1"/>
            </w14:solidFill>
          </w14:textFill>
        </w:rPr>
        <w:t>3名，各基层法院全部进入全省基层法院前30名</w:t>
      </w:r>
      <w:r>
        <w:rPr>
          <w:rFonts w:hint="eastAsia" w:ascii="仿宋" w:hAnsi="仿宋" w:eastAsia="仿宋" w:cs="仿宋"/>
          <w:sz w:val="30"/>
          <w:szCs w:val="30"/>
        </w:rPr>
        <w:t>。二是大力推进“一站式”多元解纷机制建设，完善诉讼与仲裁、调解、公证有机衔接，充分利用专业组织、行业协会力量，实现矛盾纠纷专业化分类处理，促进更多的纠纷解决在诉前。</w:t>
      </w:r>
      <w:r>
        <w:rPr>
          <w:rFonts w:hint="eastAsia" w:ascii="仿宋" w:hAnsi="仿宋" w:eastAsia="仿宋" w:cs="仿宋"/>
          <w:sz w:val="30"/>
          <w:szCs w:val="30"/>
          <w:lang w:eastAsia="zh-CN"/>
        </w:rPr>
        <w:t>诉讼便民利民措施全面落实，两个一站式考评位居全省前</w:t>
      </w:r>
      <w:r>
        <w:rPr>
          <w:rFonts w:hint="eastAsia" w:ascii="仿宋" w:hAnsi="仿宋" w:eastAsia="仿宋" w:cs="仿宋"/>
          <w:sz w:val="30"/>
          <w:szCs w:val="30"/>
          <w:lang w:val="en-US" w:eastAsia="zh-CN"/>
        </w:rPr>
        <w:t>4名。</w:t>
      </w:r>
      <w:r>
        <w:rPr>
          <w:rFonts w:hint="eastAsia" w:ascii="仿宋" w:hAnsi="仿宋" w:eastAsia="仿宋" w:cs="仿宋"/>
          <w:sz w:val="30"/>
          <w:szCs w:val="30"/>
          <w:lang w:eastAsia="zh-CN"/>
        </w:rPr>
        <w:t>三是大力加强司法调解，民商事案件调撤率达</w:t>
      </w:r>
      <w:r>
        <w:rPr>
          <w:rFonts w:hint="eastAsia" w:ascii="仿宋" w:hAnsi="仿宋" w:eastAsia="仿宋" w:cs="仿宋"/>
          <w:sz w:val="30"/>
          <w:szCs w:val="30"/>
          <w:lang w:val="en-US" w:eastAsia="zh-CN"/>
        </w:rPr>
        <w:t>45%以上，每调撤一件案件给予一定数额的绩效奖励。</w:t>
      </w:r>
      <w:r>
        <w:rPr>
          <w:rFonts w:hint="eastAsia" w:ascii="仿宋" w:hAnsi="仿宋" w:eastAsia="仿宋" w:cs="仿宋"/>
          <w:b/>
          <w:bCs/>
          <w:sz w:val="30"/>
          <w:szCs w:val="30"/>
          <w:lang w:eastAsia="zh-CN"/>
        </w:rPr>
        <w:t>（</w:t>
      </w:r>
      <w:r>
        <w:rPr>
          <w:rFonts w:hint="eastAsia" w:ascii="仿宋" w:hAnsi="仿宋" w:eastAsia="仿宋" w:cs="仿宋"/>
          <w:b/>
          <w:bCs/>
          <w:sz w:val="30"/>
          <w:szCs w:val="30"/>
        </w:rPr>
        <w:t>责任单位:立案庭</w:t>
      </w:r>
      <w:r>
        <w:rPr>
          <w:rFonts w:hint="eastAsia" w:ascii="仿宋" w:hAnsi="仿宋" w:eastAsia="仿宋" w:cs="仿宋"/>
          <w:b/>
          <w:bCs/>
          <w:sz w:val="30"/>
          <w:szCs w:val="30"/>
          <w:lang w:eastAsia="zh-CN"/>
        </w:rPr>
        <w:t>、审管办、政治部，</w:t>
      </w:r>
      <w:r>
        <w:rPr>
          <w:rFonts w:hint="eastAsia" w:ascii="仿宋" w:hAnsi="仿宋" w:eastAsia="仿宋" w:cs="仿宋"/>
          <w:b/>
          <w:bCs/>
          <w:sz w:val="30"/>
          <w:szCs w:val="30"/>
        </w:rPr>
        <w:t>完成时限:2022年底前</w:t>
      </w:r>
      <w:r>
        <w:rPr>
          <w:rFonts w:hint="eastAsia" w:ascii="仿宋" w:hAnsi="仿宋" w:eastAsia="仿宋" w:cs="仿宋"/>
          <w:b/>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b/>
          <w:bCs/>
          <w:sz w:val="30"/>
          <w:szCs w:val="30"/>
        </w:rPr>
      </w:pPr>
      <w:r>
        <w:rPr>
          <w:rFonts w:hint="eastAsia" w:ascii="华文楷体" w:hAnsi="华文楷体" w:eastAsia="华文楷体" w:cs="华文楷体"/>
          <w:sz w:val="30"/>
          <w:szCs w:val="30"/>
          <w:lang w:val="en-US" w:eastAsia="zh-CN"/>
        </w:rPr>
        <w:t>(六)提升破产案件处置综合效果:坚持因案、因企施策，完善企业破产处置协调联动机制，协调设立破产费用专项资金;加强沟通协调，优化破产企业管理人选配，加快破产企业市场出清。</w:t>
      </w:r>
      <w:r>
        <w:rPr>
          <w:rFonts w:hint="eastAsia" w:ascii="仿宋" w:hAnsi="仿宋" w:eastAsia="仿宋" w:cs="仿宋"/>
          <w:sz w:val="30"/>
          <w:szCs w:val="30"/>
        </w:rPr>
        <w:t>一是</w:t>
      </w:r>
      <w:r>
        <w:rPr>
          <w:rFonts w:hint="eastAsia" w:ascii="仿宋" w:hAnsi="仿宋" w:eastAsia="仿宋" w:cs="仿宋"/>
          <w:sz w:val="30"/>
          <w:szCs w:val="30"/>
          <w:lang w:eastAsia="zh-CN"/>
        </w:rPr>
        <w:t>充分发挥</w:t>
      </w:r>
      <w:r>
        <w:rPr>
          <w:rFonts w:hint="eastAsia" w:ascii="仿宋" w:hAnsi="仿宋" w:eastAsia="仿宋" w:cs="仿宋"/>
          <w:sz w:val="30"/>
          <w:szCs w:val="30"/>
        </w:rPr>
        <w:t>破产府院联动机制，形成破产案件化解合力。二是全面推动设立破产费用专项资金，为破产费用不足或者“无产可破”的企业依法有序退出市场提供物资保障。三是进一步完善破产管理人选任机制和考核制度，实行管理人分级管理。四是深化落实破产案件繁简分流工作指引，提升破产案件办理质效。</w:t>
      </w:r>
      <w:r>
        <w:rPr>
          <w:rFonts w:hint="eastAsia" w:ascii="仿宋" w:hAnsi="仿宋" w:eastAsia="仿宋" w:cs="仿宋"/>
          <w:sz w:val="30"/>
          <w:szCs w:val="30"/>
          <w:lang w:eastAsia="zh-CN"/>
        </w:rPr>
        <w:t>五是各基层法院年度办理</w:t>
      </w:r>
      <w:r>
        <w:rPr>
          <w:rFonts w:hint="eastAsia" w:ascii="仿宋" w:hAnsi="仿宋" w:eastAsia="仿宋" w:cs="仿宋"/>
          <w:sz w:val="30"/>
          <w:szCs w:val="30"/>
          <w:lang w:val="en-US" w:eastAsia="zh-CN"/>
        </w:rPr>
        <w:t>2件以上“执转破”案件。</w:t>
      </w:r>
      <w:r>
        <w:rPr>
          <w:rFonts w:hint="eastAsia" w:ascii="仿宋" w:hAnsi="仿宋" w:eastAsia="仿宋" w:cs="仿宋"/>
          <w:b/>
          <w:bCs/>
          <w:sz w:val="30"/>
          <w:szCs w:val="30"/>
          <w:lang w:eastAsia="zh-CN"/>
        </w:rPr>
        <w:t>（</w:t>
      </w:r>
      <w:r>
        <w:rPr>
          <w:rFonts w:hint="eastAsia" w:ascii="仿宋" w:hAnsi="仿宋" w:eastAsia="仿宋" w:cs="仿宋"/>
          <w:b/>
          <w:bCs/>
          <w:sz w:val="30"/>
          <w:szCs w:val="30"/>
        </w:rPr>
        <w:t>责任单位:民二庭</w:t>
      </w:r>
      <w:r>
        <w:rPr>
          <w:rFonts w:hint="eastAsia" w:ascii="仿宋" w:hAnsi="仿宋" w:eastAsia="仿宋" w:cs="仿宋"/>
          <w:b/>
          <w:bCs/>
          <w:sz w:val="30"/>
          <w:szCs w:val="30"/>
          <w:lang w:eastAsia="zh-CN"/>
        </w:rPr>
        <w:t>、司法鉴定科、执行局，</w:t>
      </w:r>
      <w:r>
        <w:rPr>
          <w:rFonts w:hint="eastAsia" w:ascii="仿宋" w:hAnsi="仿宋" w:eastAsia="仿宋" w:cs="仿宋"/>
          <w:b/>
          <w:bCs/>
          <w:sz w:val="30"/>
          <w:szCs w:val="30"/>
        </w:rPr>
        <w:t>完成时限:2022年底前</w:t>
      </w:r>
      <w:r>
        <w:rPr>
          <w:rFonts w:hint="eastAsia" w:ascii="仿宋" w:hAnsi="仿宋" w:eastAsia="仿宋" w:cs="仿宋"/>
          <w:b/>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华文楷体" w:hAnsi="华文楷体" w:eastAsia="华文楷体" w:cs="华文楷体"/>
          <w:sz w:val="30"/>
          <w:szCs w:val="30"/>
          <w:lang w:val="en-US" w:eastAsia="zh-CN"/>
        </w:rPr>
        <w:t>(七)加强知识产权司法保护，深化与市场监管等单位的沟通协作，持续推进知识产权审判机制改革，加大简单知识产权民事案件诉前调解、繁简分流力度，加大知识产权侵权惩处力度。</w:t>
      </w:r>
      <w:r>
        <w:rPr>
          <w:rFonts w:hint="eastAsia" w:ascii="仿宋" w:hAnsi="仿宋" w:eastAsia="仿宋" w:cs="仿宋"/>
          <w:sz w:val="30"/>
          <w:szCs w:val="30"/>
        </w:rPr>
        <w:t>一是加强与市场监管等单位的沟通协作，加大知识产权合作保护力度。二是加大简单知识产权案件诉前调解、繁简分流力度。三是严格执行知识产权侵权惩罚性赔偿制度，发布知识产权侵权惩处典型案例。</w:t>
      </w:r>
      <w:r>
        <w:rPr>
          <w:rFonts w:hint="eastAsia" w:ascii="仿宋" w:hAnsi="仿宋" w:eastAsia="仿宋" w:cs="仿宋"/>
          <w:sz w:val="30"/>
          <w:szCs w:val="30"/>
          <w:lang w:eastAsia="zh-CN"/>
        </w:rPr>
        <w:t>四是</w:t>
      </w:r>
      <w:r>
        <w:rPr>
          <w:rFonts w:hint="eastAsia" w:ascii="仿宋" w:hAnsi="仿宋" w:eastAsia="仿宋" w:cs="仿宋"/>
          <w:sz w:val="30"/>
          <w:szCs w:val="30"/>
          <w:lang w:val="en-US" w:eastAsia="zh-CN"/>
        </w:rPr>
        <w:t>两级法院要摸清所在地高新技术企业名单并做好一对一对接服务，加强</w:t>
      </w:r>
      <w:r>
        <w:rPr>
          <w:rFonts w:hint="eastAsia" w:ascii="仿宋" w:hAnsi="仿宋" w:eastAsia="仿宋" w:cs="仿宋"/>
          <w:sz w:val="30"/>
          <w:szCs w:val="30"/>
          <w:lang w:eastAsia="zh-CN"/>
        </w:rPr>
        <w:t>知识产</w:t>
      </w:r>
      <w:bookmarkStart w:id="0" w:name="_GoBack"/>
      <w:bookmarkEnd w:id="0"/>
      <w:r>
        <w:rPr>
          <w:rFonts w:hint="eastAsia" w:ascii="仿宋" w:hAnsi="仿宋" w:eastAsia="仿宋" w:cs="仿宋"/>
          <w:sz w:val="30"/>
          <w:szCs w:val="30"/>
          <w:lang w:eastAsia="zh-CN"/>
        </w:rPr>
        <w:t>权保护，服务创新推动战略。</w:t>
      </w:r>
      <w:r>
        <w:rPr>
          <w:rFonts w:hint="eastAsia" w:ascii="仿宋" w:hAnsi="仿宋" w:eastAsia="仿宋" w:cs="仿宋"/>
          <w:b/>
          <w:bCs/>
          <w:sz w:val="30"/>
          <w:szCs w:val="30"/>
          <w:lang w:eastAsia="zh-CN"/>
        </w:rPr>
        <w:t>（</w:t>
      </w:r>
      <w:r>
        <w:rPr>
          <w:rFonts w:hint="eastAsia" w:ascii="仿宋" w:hAnsi="仿宋" w:eastAsia="仿宋" w:cs="仿宋"/>
          <w:b/>
          <w:bCs/>
          <w:sz w:val="30"/>
          <w:szCs w:val="30"/>
        </w:rPr>
        <w:t>责任单位:民三庭</w:t>
      </w:r>
      <w:r>
        <w:rPr>
          <w:rFonts w:hint="eastAsia" w:ascii="仿宋" w:hAnsi="仿宋" w:eastAsia="仿宋" w:cs="仿宋"/>
          <w:b/>
          <w:bCs/>
          <w:sz w:val="30"/>
          <w:szCs w:val="30"/>
          <w:lang w:eastAsia="zh-CN"/>
        </w:rPr>
        <w:t>、立案庭，</w:t>
      </w:r>
      <w:r>
        <w:rPr>
          <w:rFonts w:hint="eastAsia" w:ascii="仿宋" w:hAnsi="仿宋" w:eastAsia="仿宋" w:cs="仿宋"/>
          <w:b/>
          <w:bCs/>
          <w:sz w:val="30"/>
          <w:szCs w:val="30"/>
        </w:rPr>
        <w:t>完成时限:2022年底前</w:t>
      </w:r>
      <w:r>
        <w:rPr>
          <w:rFonts w:hint="eastAsia" w:ascii="仿宋" w:hAnsi="仿宋" w:eastAsia="仿宋" w:cs="仿宋"/>
          <w:b/>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华文楷体" w:hAnsi="华文楷体" w:eastAsia="华文楷体" w:cs="华文楷体"/>
          <w:sz w:val="30"/>
          <w:szCs w:val="30"/>
          <w:lang w:val="en-US" w:eastAsia="zh-CN"/>
        </w:rPr>
        <w:t>(八)推动审判监督管理，促进审判权制约监督常态化。全面落实司法责任制各项要求，在进一步加强所有案件特别是“四类案件”、涉企案件监督管理的同时，要切实落实对所有办案人员工作作风、行为是否违法违纪违规的监管，落实对所有案件的流程和程序性事项、文书质量、案件质量进行管理，按上级法院有关规定加强案件的监管，切实落实对执行实施行为的全方位全时序监管，确保该监管的全面监管到位。压实院庭长监管责任，充分发挥合议庭作用，杜绝承办法官一人独断、合而不议、议而不合等现象。</w:t>
      </w:r>
      <w:r>
        <w:rPr>
          <w:rFonts w:hint="eastAsia" w:ascii="仿宋" w:hAnsi="仿宋" w:eastAsia="仿宋" w:cs="仿宋"/>
          <w:sz w:val="30"/>
          <w:szCs w:val="30"/>
        </w:rPr>
        <w:t>一是</w:t>
      </w:r>
      <w:r>
        <w:rPr>
          <w:rFonts w:hint="eastAsia" w:ascii="仿宋" w:hAnsi="仿宋" w:eastAsia="仿宋" w:cs="仿宋"/>
          <w:sz w:val="30"/>
          <w:szCs w:val="30"/>
          <w:lang w:eastAsia="zh-CN"/>
        </w:rPr>
        <w:t>重点加强</w:t>
      </w:r>
      <w:r>
        <w:rPr>
          <w:rFonts w:hint="eastAsia" w:ascii="仿宋" w:hAnsi="仿宋" w:eastAsia="仿宋" w:cs="仿宋"/>
          <w:sz w:val="30"/>
          <w:szCs w:val="30"/>
        </w:rPr>
        <w:t>院庭长审判监督管理</w:t>
      </w:r>
      <w:r>
        <w:rPr>
          <w:rFonts w:hint="eastAsia" w:ascii="仿宋" w:hAnsi="仿宋" w:eastAsia="仿宋" w:cs="仿宋"/>
          <w:sz w:val="30"/>
          <w:szCs w:val="30"/>
          <w:lang w:eastAsia="zh-CN"/>
        </w:rPr>
        <w:t>。</w:t>
      </w:r>
      <w:r>
        <w:rPr>
          <w:rFonts w:hint="eastAsia" w:ascii="仿宋" w:hAnsi="仿宋" w:eastAsia="仿宋" w:cs="仿宋"/>
          <w:sz w:val="30"/>
          <w:szCs w:val="30"/>
        </w:rPr>
        <w:t>二是抓好专业法官会议制度落实，发挥专业法官会议作为提交审委会讨论案件的前置过滤机制作用</w:t>
      </w:r>
      <w:r>
        <w:rPr>
          <w:rFonts w:hint="eastAsia" w:ascii="仿宋" w:hAnsi="仿宋" w:eastAsia="仿宋" w:cs="仿宋"/>
          <w:sz w:val="30"/>
          <w:szCs w:val="30"/>
          <w:lang w:eastAsia="zh-CN"/>
        </w:rPr>
        <w:t>。</w:t>
      </w:r>
      <w:r>
        <w:rPr>
          <w:rFonts w:hint="eastAsia" w:ascii="仿宋" w:hAnsi="仿宋" w:eastAsia="仿宋" w:cs="仿宋"/>
          <w:sz w:val="30"/>
          <w:szCs w:val="30"/>
        </w:rPr>
        <w:t>三是完善审判委员会运作机制，突出发挥审判委员会研究法律适用、统一裁判尺度和总结裁判经验的作用。</w:t>
      </w:r>
      <w:r>
        <w:rPr>
          <w:rFonts w:hint="eastAsia" w:ascii="仿宋" w:hAnsi="仿宋" w:eastAsia="仿宋" w:cs="仿宋"/>
          <w:sz w:val="30"/>
          <w:szCs w:val="30"/>
          <w:lang w:eastAsia="zh-CN"/>
        </w:rPr>
        <w:t>进一步加大案件评查问责和合议制度落实情况等多项检查督办工作力度，推动司法责任制全面深入落实。（</w:t>
      </w:r>
      <w:r>
        <w:rPr>
          <w:rFonts w:hint="eastAsia" w:ascii="仿宋" w:hAnsi="仿宋" w:eastAsia="仿宋" w:cs="仿宋"/>
          <w:b/>
          <w:bCs/>
          <w:sz w:val="30"/>
          <w:szCs w:val="30"/>
        </w:rPr>
        <w:t>责任单位:审管办</w:t>
      </w:r>
      <w:r>
        <w:rPr>
          <w:rFonts w:hint="eastAsia" w:ascii="仿宋" w:hAnsi="仿宋" w:eastAsia="仿宋" w:cs="仿宋"/>
          <w:b/>
          <w:bCs/>
          <w:sz w:val="30"/>
          <w:szCs w:val="30"/>
          <w:lang w:eastAsia="zh-CN"/>
        </w:rPr>
        <w:t>，</w:t>
      </w:r>
      <w:r>
        <w:rPr>
          <w:rFonts w:hint="eastAsia" w:ascii="仿宋" w:hAnsi="仿宋" w:eastAsia="仿宋" w:cs="仿宋"/>
          <w:b/>
          <w:bCs/>
          <w:sz w:val="30"/>
          <w:szCs w:val="30"/>
        </w:rPr>
        <w:t>完成时限:2022年底前</w:t>
      </w:r>
      <w:r>
        <w:rPr>
          <w:rFonts w:hint="eastAsia" w:ascii="仿宋" w:hAnsi="仿宋" w:eastAsia="仿宋" w:cs="仿宋"/>
          <w:b/>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b/>
          <w:bCs/>
          <w:sz w:val="30"/>
          <w:szCs w:val="30"/>
        </w:rPr>
      </w:pPr>
      <w:r>
        <w:rPr>
          <w:rFonts w:hint="eastAsia" w:ascii="华文楷体" w:hAnsi="华文楷体" w:eastAsia="华文楷体" w:cs="华文楷体"/>
          <w:sz w:val="30"/>
          <w:szCs w:val="30"/>
          <w:lang w:val="en-US" w:eastAsia="zh-CN"/>
        </w:rPr>
        <w:t>(九)完善“法梗阻”的投诉机制，明确投诉渠道、受理流程、办理责任。</w:t>
      </w:r>
      <w:r>
        <w:rPr>
          <w:rFonts w:hint="eastAsia" w:ascii="仿宋" w:hAnsi="仿宋" w:eastAsia="仿宋" w:cs="仿宋"/>
          <w:sz w:val="30"/>
          <w:szCs w:val="30"/>
        </w:rPr>
        <w:t>一是全面落实“诉访分离”制度，</w:t>
      </w:r>
      <w:r>
        <w:rPr>
          <w:rFonts w:hint="eastAsia" w:ascii="仿宋" w:hAnsi="仿宋" w:eastAsia="仿宋" w:cs="仿宋"/>
          <w:sz w:val="30"/>
          <w:szCs w:val="30"/>
          <w:lang w:eastAsia="zh-CN"/>
        </w:rPr>
        <w:t>对所有信访案件由立案交合议组织依法评价办理，</w:t>
      </w:r>
      <w:r>
        <w:rPr>
          <w:rFonts w:hint="eastAsia" w:ascii="仿宋" w:hAnsi="仿宋" w:eastAsia="仿宋" w:cs="仿宋"/>
          <w:sz w:val="30"/>
          <w:szCs w:val="30"/>
        </w:rPr>
        <w:t>对应当通过诉讼方式解决的事项依法导入诉讼程序，对涉诉信访事项做好法律释明和疏导分流。二是畅通涉诉信访渠道，逐步完善窗口即时接访、部门对口接访、</w:t>
      </w:r>
      <w:r>
        <w:rPr>
          <w:rFonts w:hint="eastAsia" w:ascii="仿宋" w:hAnsi="仿宋" w:eastAsia="仿宋" w:cs="仿宋"/>
          <w:sz w:val="30"/>
          <w:szCs w:val="30"/>
          <w:lang w:eastAsia="zh-CN"/>
        </w:rPr>
        <w:t>院中层正副职及法官、法官助理</w:t>
      </w:r>
      <w:r>
        <w:rPr>
          <w:rFonts w:hint="eastAsia" w:ascii="仿宋" w:hAnsi="仿宋" w:eastAsia="仿宋" w:cs="仿宋"/>
          <w:sz w:val="30"/>
          <w:szCs w:val="30"/>
        </w:rPr>
        <w:t>每日轮流接访工作模式，拓宽接访渠道，依法就地解决涉诉信访问题。三是依托最高人民法院搭建网上申诉信访平台，</w:t>
      </w:r>
      <w:r>
        <w:rPr>
          <w:rFonts w:hint="eastAsia" w:ascii="仿宋" w:hAnsi="仿宋" w:eastAsia="仿宋" w:cs="仿宋"/>
          <w:sz w:val="30"/>
          <w:szCs w:val="30"/>
          <w:lang w:eastAsia="zh-CN"/>
        </w:rPr>
        <w:t>全力办理好</w:t>
      </w:r>
      <w:r>
        <w:rPr>
          <w:rFonts w:hint="eastAsia" w:ascii="仿宋" w:hAnsi="仿宋" w:eastAsia="仿宋" w:cs="仿宋"/>
          <w:sz w:val="30"/>
          <w:szCs w:val="30"/>
        </w:rPr>
        <w:t>人民群众在线申诉信访。</w:t>
      </w:r>
      <w:r>
        <w:rPr>
          <w:rFonts w:hint="eastAsia" w:ascii="仿宋" w:hAnsi="仿宋" w:eastAsia="仿宋" w:cs="仿宋"/>
          <w:sz w:val="30"/>
          <w:szCs w:val="30"/>
          <w:lang w:eastAsia="zh-CN"/>
        </w:rPr>
        <w:t>四是持续落实《湖北省高级人民法院营商环境问题投诉联动工作办法》，畅通市场主体投诉渠道。</w:t>
      </w:r>
      <w:r>
        <w:rPr>
          <w:rFonts w:hint="eastAsia" w:ascii="仿宋" w:hAnsi="仿宋" w:eastAsia="仿宋" w:cs="仿宋"/>
          <w:b/>
          <w:bCs/>
          <w:sz w:val="30"/>
          <w:szCs w:val="30"/>
          <w:lang w:eastAsia="zh-CN"/>
        </w:rPr>
        <w:t>（</w:t>
      </w:r>
      <w:r>
        <w:rPr>
          <w:rFonts w:hint="eastAsia" w:ascii="仿宋" w:hAnsi="仿宋" w:eastAsia="仿宋" w:cs="仿宋"/>
          <w:b/>
          <w:bCs/>
          <w:sz w:val="30"/>
          <w:szCs w:val="30"/>
        </w:rPr>
        <w:t>责任单位:</w:t>
      </w:r>
      <w:r>
        <w:rPr>
          <w:rFonts w:hint="eastAsia" w:ascii="仿宋" w:hAnsi="仿宋" w:eastAsia="仿宋" w:cs="仿宋"/>
          <w:b/>
          <w:bCs/>
          <w:sz w:val="30"/>
          <w:szCs w:val="30"/>
          <w:lang w:eastAsia="zh-CN"/>
        </w:rPr>
        <w:t>信访办、营商办，</w:t>
      </w:r>
      <w:r>
        <w:rPr>
          <w:rFonts w:hint="eastAsia" w:ascii="仿宋" w:hAnsi="仿宋" w:eastAsia="仿宋" w:cs="仿宋"/>
          <w:b/>
          <w:bCs/>
          <w:sz w:val="30"/>
          <w:szCs w:val="30"/>
        </w:rPr>
        <w:t>完成时限:2022年底前</w:t>
      </w:r>
      <w:r>
        <w:rPr>
          <w:rFonts w:hint="eastAsia" w:ascii="仿宋" w:hAnsi="仿宋" w:eastAsia="仿宋" w:cs="仿宋"/>
          <w:b/>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b/>
          <w:bCs/>
          <w:sz w:val="30"/>
          <w:szCs w:val="30"/>
          <w:lang w:eastAsia="zh-CN"/>
        </w:rPr>
      </w:pPr>
      <w:r>
        <w:rPr>
          <w:rFonts w:hint="eastAsia" w:ascii="华文楷体" w:hAnsi="华文楷体" w:eastAsia="华文楷体" w:cs="华文楷体"/>
          <w:sz w:val="30"/>
          <w:szCs w:val="30"/>
          <w:lang w:val="en-US" w:eastAsia="zh-CN"/>
        </w:rPr>
        <w:t>(十)进一步加强对执行工作的监督和支持，推动完善“党委领导、政法委协调、人大监督、政府支持、法院主抓、部门配合、社会参与”的执行难综合治理源头治理工作机制。</w:t>
      </w:r>
      <w:r>
        <w:rPr>
          <w:rFonts w:hint="eastAsia" w:ascii="仿宋" w:hAnsi="仿宋" w:eastAsia="仿宋" w:cs="仿宋"/>
          <w:sz w:val="30"/>
          <w:szCs w:val="30"/>
        </w:rPr>
        <w:t>一是继续推动完善“党委领导、政法委协调、人大监督、政府支持、法院主抓、部门配合、社会参与”的执行难综合治理源头治理工作机制。</w:t>
      </w:r>
      <w:r>
        <w:rPr>
          <w:rFonts w:hint="eastAsia" w:ascii="仿宋" w:hAnsi="仿宋" w:eastAsia="仿宋" w:cs="仿宋"/>
          <w:sz w:val="30"/>
          <w:szCs w:val="30"/>
          <w:lang w:eastAsia="zh-CN"/>
        </w:rPr>
        <w:t>今年</w:t>
      </w:r>
      <w:r>
        <w:rPr>
          <w:rFonts w:hint="eastAsia" w:ascii="仿宋" w:hAnsi="仿宋" w:eastAsia="仿宋" w:cs="仿宋"/>
          <w:sz w:val="30"/>
          <w:szCs w:val="30"/>
          <w:lang w:val="en-US" w:eastAsia="zh-CN"/>
        </w:rPr>
        <w:t>6月底以前制发相关文件，并全力推动与各部门联动的具体办法。</w:t>
      </w:r>
      <w:r>
        <w:rPr>
          <w:rFonts w:hint="eastAsia" w:ascii="仿宋" w:hAnsi="仿宋" w:eastAsia="仿宋" w:cs="仿宋"/>
          <w:sz w:val="30"/>
          <w:szCs w:val="30"/>
        </w:rPr>
        <w:t>二是健全“分段集约、繁简分流”执行工作机制，充分</w:t>
      </w:r>
      <w:r>
        <w:rPr>
          <w:rFonts w:hint="eastAsia" w:ascii="仿宋" w:hAnsi="仿宋" w:eastAsia="仿宋" w:cs="仿宋"/>
          <w:sz w:val="30"/>
          <w:szCs w:val="30"/>
          <w:lang w:val="en-US" w:eastAsia="zh-CN"/>
        </w:rPr>
        <w:t>开展</w:t>
      </w:r>
      <w:r>
        <w:rPr>
          <w:rFonts w:hint="eastAsia" w:ascii="仿宋" w:hAnsi="仿宋" w:eastAsia="仿宋" w:cs="仿宋"/>
          <w:sz w:val="30"/>
          <w:szCs w:val="30"/>
        </w:rPr>
        <w:t>执行和解，加大“执转破”工作力度</w:t>
      </w:r>
      <w:r>
        <w:rPr>
          <w:rFonts w:hint="eastAsia" w:ascii="仿宋" w:hAnsi="仿宋" w:eastAsia="仿宋" w:cs="仿宋"/>
          <w:sz w:val="30"/>
          <w:szCs w:val="30"/>
          <w:lang w:eastAsia="zh-CN"/>
        </w:rPr>
        <w:t>。三是</w:t>
      </w:r>
      <w:r>
        <w:rPr>
          <w:rFonts w:hint="eastAsia" w:ascii="仿宋" w:hAnsi="仿宋" w:eastAsia="仿宋" w:cs="仿宋"/>
          <w:sz w:val="30"/>
          <w:szCs w:val="30"/>
        </w:rPr>
        <w:t>积极推行执行信息公开。</w:t>
      </w:r>
      <w:r>
        <w:rPr>
          <w:rFonts w:hint="eastAsia" w:ascii="仿宋" w:hAnsi="仿宋" w:eastAsia="仿宋" w:cs="仿宋"/>
          <w:sz w:val="30"/>
          <w:szCs w:val="30"/>
          <w:lang w:eastAsia="zh-CN"/>
        </w:rPr>
        <w:t>四</w:t>
      </w:r>
      <w:r>
        <w:rPr>
          <w:rFonts w:hint="eastAsia" w:ascii="仿宋" w:hAnsi="仿宋" w:eastAsia="仿宋" w:cs="仿宋"/>
          <w:sz w:val="30"/>
          <w:szCs w:val="30"/>
        </w:rPr>
        <w:t>是切实强化执行工作监管，加强执行案件流程节点管控，加大执行监督案件办理力度，着力推进“一案双查”工作，强化相关执行工作考评机制</w:t>
      </w:r>
      <w:r>
        <w:rPr>
          <w:rFonts w:hint="eastAsia" w:ascii="仿宋" w:hAnsi="仿宋" w:eastAsia="仿宋" w:cs="仿宋"/>
          <w:sz w:val="30"/>
          <w:szCs w:val="30"/>
          <w:lang w:eastAsia="zh-CN"/>
        </w:rPr>
        <w:t>，切实推动“一性两化”全面加强。执行案件质效核心指标位居全省最前列</w:t>
      </w:r>
      <w:r>
        <w:rPr>
          <w:rFonts w:hint="eastAsia" w:ascii="仿宋" w:hAnsi="仿宋" w:eastAsia="仿宋" w:cs="仿宋"/>
          <w:sz w:val="30"/>
          <w:szCs w:val="30"/>
        </w:rPr>
        <w:t>。</w:t>
      </w:r>
      <w:r>
        <w:rPr>
          <w:rFonts w:hint="eastAsia" w:ascii="仿宋" w:hAnsi="仿宋" w:eastAsia="仿宋" w:cs="仿宋"/>
          <w:b/>
          <w:bCs/>
          <w:sz w:val="30"/>
          <w:szCs w:val="30"/>
          <w:lang w:eastAsia="zh-CN"/>
        </w:rPr>
        <w:t>（</w:t>
      </w:r>
      <w:r>
        <w:rPr>
          <w:rFonts w:hint="eastAsia" w:ascii="仿宋" w:hAnsi="仿宋" w:eastAsia="仿宋" w:cs="仿宋"/>
          <w:b/>
          <w:bCs/>
          <w:sz w:val="30"/>
          <w:szCs w:val="30"/>
        </w:rPr>
        <w:t>责任单位:执行局</w:t>
      </w:r>
      <w:r>
        <w:rPr>
          <w:rFonts w:hint="eastAsia" w:ascii="仿宋" w:hAnsi="仿宋" w:eastAsia="仿宋" w:cs="仿宋"/>
          <w:b/>
          <w:bCs/>
          <w:sz w:val="30"/>
          <w:szCs w:val="30"/>
          <w:lang w:eastAsia="zh-CN"/>
        </w:rPr>
        <w:t>，</w:t>
      </w:r>
      <w:r>
        <w:rPr>
          <w:rFonts w:hint="eastAsia" w:ascii="仿宋" w:hAnsi="仿宋" w:eastAsia="仿宋" w:cs="仿宋"/>
          <w:b/>
          <w:bCs/>
          <w:sz w:val="30"/>
          <w:szCs w:val="30"/>
        </w:rPr>
        <w:t>完成时限:2022年底前</w:t>
      </w:r>
      <w:r>
        <w:rPr>
          <w:rFonts w:hint="eastAsia" w:ascii="仿宋" w:hAnsi="仿宋" w:eastAsia="仿宋" w:cs="仿宋"/>
          <w:b/>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三、组织保障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华文楷体" w:hAnsi="华文楷体" w:eastAsia="华文楷体" w:cs="华文楷体"/>
          <w:sz w:val="30"/>
          <w:szCs w:val="30"/>
          <w:lang w:val="en-US" w:eastAsia="zh-CN"/>
        </w:rPr>
        <w:t>（一）加强组织领导。</w:t>
      </w:r>
      <w:r>
        <w:rPr>
          <w:rFonts w:hint="eastAsia" w:ascii="仿宋" w:hAnsi="仿宋" w:eastAsia="仿宋" w:cs="仿宋"/>
          <w:sz w:val="30"/>
          <w:szCs w:val="30"/>
          <w:lang w:val="en-US" w:eastAsia="zh-CN"/>
        </w:rPr>
        <w:t>此项工作由孝感市中级人民法院优化营商环境工作领导小组领导，由领导小组办公室具体统筹实施。各责任单位要高度重视工作开展过程中所反映的问题，将其作为优化法治化营商环境工作的重要内容，健全工作机制，狠抓落实，促进问题全面解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华文楷体" w:hAnsi="华文楷体" w:eastAsia="华文楷体" w:cs="华文楷体"/>
          <w:sz w:val="30"/>
          <w:szCs w:val="30"/>
          <w:lang w:val="en-US" w:eastAsia="zh-CN"/>
        </w:rPr>
        <w:t>（二）严格落实责任。</w:t>
      </w:r>
      <w:r>
        <w:rPr>
          <w:rFonts w:hint="eastAsia" w:ascii="仿宋" w:hAnsi="仿宋" w:eastAsia="仿宋" w:cs="仿宋"/>
          <w:sz w:val="30"/>
          <w:szCs w:val="30"/>
          <w:lang w:val="en-US" w:eastAsia="zh-CN"/>
        </w:rPr>
        <w:t>本方案</w:t>
      </w:r>
      <w:r>
        <w:rPr>
          <w:rFonts w:hint="eastAsia" w:ascii="仿宋" w:hAnsi="仿宋" w:eastAsia="仿宋" w:cs="仿宋"/>
          <w:sz w:val="30"/>
          <w:szCs w:val="30"/>
        </w:rPr>
        <w:t>所明确的</w:t>
      </w:r>
      <w:r>
        <w:rPr>
          <w:rFonts w:hint="eastAsia" w:ascii="仿宋" w:hAnsi="仿宋" w:eastAsia="仿宋" w:cs="仿宋"/>
          <w:sz w:val="30"/>
          <w:szCs w:val="30"/>
          <w:lang w:eastAsia="zh-CN"/>
        </w:rPr>
        <w:t>责任部门</w:t>
      </w:r>
      <w:r>
        <w:rPr>
          <w:rFonts w:hint="eastAsia" w:ascii="仿宋" w:hAnsi="仿宋" w:eastAsia="仿宋" w:cs="仿宋"/>
          <w:sz w:val="30"/>
          <w:szCs w:val="30"/>
        </w:rPr>
        <w:t>，要根据本方案提出具体实施计划，把各项工作分解细化，逐项抓落实。各责任部门</w:t>
      </w:r>
      <w:r>
        <w:rPr>
          <w:rFonts w:hint="eastAsia" w:ascii="仿宋" w:hAnsi="仿宋" w:eastAsia="仿宋" w:cs="仿宋"/>
          <w:sz w:val="30"/>
          <w:szCs w:val="30"/>
          <w:lang w:eastAsia="zh-CN"/>
        </w:rPr>
        <w:t>的</w:t>
      </w:r>
      <w:r>
        <w:rPr>
          <w:rFonts w:hint="eastAsia" w:ascii="仿宋" w:hAnsi="仿宋" w:eastAsia="仿宋" w:cs="仿宋"/>
          <w:sz w:val="30"/>
          <w:szCs w:val="30"/>
        </w:rPr>
        <w:t>主要负责人要增强责任意识，发挥表率作用带头抓</w:t>
      </w:r>
      <w:r>
        <w:rPr>
          <w:rFonts w:hint="eastAsia" w:ascii="仿宋" w:hAnsi="仿宋" w:eastAsia="仿宋" w:cs="仿宋"/>
          <w:sz w:val="30"/>
          <w:szCs w:val="30"/>
          <w:lang w:eastAsia="zh-CN"/>
        </w:rPr>
        <w:t>落实</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b/>
          <w:bCs/>
          <w:sz w:val="30"/>
          <w:szCs w:val="30"/>
          <w:lang w:eastAsia="zh-CN"/>
        </w:rPr>
      </w:pPr>
      <w:r>
        <w:rPr>
          <w:rFonts w:hint="eastAsia" w:ascii="华文楷体" w:hAnsi="华文楷体" w:eastAsia="华文楷体" w:cs="华文楷体"/>
          <w:sz w:val="30"/>
          <w:szCs w:val="30"/>
          <w:lang w:val="en-US" w:eastAsia="zh-CN"/>
        </w:rPr>
        <w:t>（三）加强检查督办。</w:t>
      </w:r>
      <w:r>
        <w:rPr>
          <w:rFonts w:hint="eastAsia" w:ascii="仿宋" w:hAnsi="仿宋" w:eastAsia="仿宋" w:cs="仿宋"/>
          <w:sz w:val="30"/>
          <w:szCs w:val="30"/>
          <w:lang w:eastAsia="zh-CN"/>
        </w:rPr>
        <w:t>基层法院要每季度就辖区加强市场主体司法保护和服务工作向本院作专题汇报，市中院将适时采取督查督办、专项检查、随机抽查、经验交流等形式，加强对各法院市场主体司法保护和服务工作力度的全面整体协调推进，推动工作有效落实，确保工作取得实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D66"/>
    <w:rsid w:val="00943D66"/>
    <w:rsid w:val="0F883326"/>
    <w:rsid w:val="101F47C9"/>
    <w:rsid w:val="123E0CF9"/>
    <w:rsid w:val="18A52F8C"/>
    <w:rsid w:val="1A2C629E"/>
    <w:rsid w:val="1FC834E2"/>
    <w:rsid w:val="1FF91443"/>
    <w:rsid w:val="22F70640"/>
    <w:rsid w:val="3A2C397F"/>
    <w:rsid w:val="3F212D33"/>
    <w:rsid w:val="50054578"/>
    <w:rsid w:val="520E7F8B"/>
    <w:rsid w:val="5B062AF1"/>
    <w:rsid w:val="60187DF2"/>
    <w:rsid w:val="63021FCE"/>
    <w:rsid w:val="63C82F6E"/>
    <w:rsid w:val="656B71D8"/>
    <w:rsid w:val="6A67768B"/>
    <w:rsid w:val="6F112D10"/>
    <w:rsid w:val="717D4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2022-02-10T07:30:00Z</dcterms:created>
  <dc:creator>未定义</dc:creator>
  <cp:lastModifiedBy>代绍娟</cp:lastModifiedBy>
  <cp:lastPrinted>2022-03-15T02:03:00Z</cp:lastPrinted>
  <dcterms:modified xsi:type="dcterms:W3CDTF">2022-03-29T07:46:46Z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